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center"/>
      </w:pPr>
      <w:r>
        <w:rPr>
          <w:rFonts w:ascii="Arial" w:hAnsi="Arial" w:cs="Arial"/>
          <w:b/>
          <w:sz w:val="30"/>
          <w:szCs w:val="30"/>
        </w:rPr>
        <w:t xml:space="preserve">¿VIVISTE O VISTE MALOS TRATOS, ACOSO O VIOLENCIA EN EL TRABAJO?</w:t>
      </w:r>
    </w:p>
    <w:p>
      <w:pPr>
        <w:spacing w:before="0" w:after="240"/>
        <w:jc w:val="center"/>
      </w:pPr>
      <w:r>
        <w:rPr>
          <w:rFonts w:ascii="Arial" w:hAnsi="Arial" w:cs="Arial"/>
          <w:color w:val="475569"/>
          <w:sz w:val="19"/>
          <w:szCs w:val="19"/>
        </w:rPr>
        <w:t xml:space="preserve">Aviso para el pizarrón ·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[Razón social]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En este centro de trabajo puedes presentar una queja por prácticas contrarias a un buen ambiente de trabajo o denunciar actos de violencia laboral —hostigamiento, acoso o malos tratos— de forma segura y confidencial.</w:t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Cómo presentarla</w:t>
      </w:r>
    </w:p>
    <w:p>
      <w:pPr>
        <w:spacing w:before="0" w:after="60"/>
        <w:ind w:left="360"/>
      </w:pPr>
      <w:r>
        <w:rPr>
          <w:rFonts w:ascii="Arial" w:hAnsi="Arial" w:cs="Arial"/>
          <w:sz w:val="21"/>
          <w:szCs w:val="21"/>
        </w:rPr>
        <w:t xml:space="preserve">•  </w:t>
      </w:r>
      <w:r>
        <w:rPr>
          <w:rFonts w:ascii="Arial" w:hAnsi="Arial" w:cs="Arial"/>
          <w:sz w:val="21"/>
          <w:szCs w:val="21"/>
        </w:rPr>
        <w:t xml:space="preserve">Con </w:t>
      </w:r>
      <w:r>
        <w:rPr>
          <w:rFonts w:ascii="Arial" w:hAnsi="Arial" w:cs="Arial"/>
          <w:sz w:val="21"/>
          <w:szCs w:val="21"/>
          <w:highlight w:val="yellow"/>
        </w:rPr>
        <w:t xml:space="preserve">[nombre]</w:t>
      </w:r>
      <w:r>
        <w:rPr>
          <w:rFonts w:ascii="Arial" w:hAnsi="Arial" w:cs="Arial"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  <w:highlight w:val="yellow"/>
        </w:rPr>
        <w:t xml:space="preserve">[cargo]</w:t>
      </w:r>
      <w:r>
        <w:rPr>
          <w:rFonts w:ascii="Arial" w:hAnsi="Arial" w:cs="Arial"/>
          <w:sz w:val="21"/>
          <w:szCs w:val="21"/>
        </w:rPr>
        <w:t xml:space="preserve">, en persona.</w:t>
      </w:r>
    </w:p>
    <w:p>
      <w:pPr>
        <w:spacing w:before="0" w:after="60"/>
        <w:ind w:left="360"/>
      </w:pPr>
      <w:r>
        <w:rPr>
          <w:rFonts w:ascii="Arial" w:hAnsi="Arial" w:cs="Arial"/>
          <w:sz w:val="21"/>
          <w:szCs w:val="21"/>
        </w:rPr>
        <w:t xml:space="preserve">•  </w:t>
      </w:r>
      <w:r>
        <w:rPr>
          <w:rFonts w:ascii="Arial" w:hAnsi="Arial" w:cs="Arial"/>
          <w:sz w:val="21"/>
          <w:szCs w:val="21"/>
        </w:rPr>
        <w:t xml:space="preserve">Por correo electrónico: </w:t>
      </w:r>
      <w:r>
        <w:rPr>
          <w:rFonts w:ascii="Arial" w:hAnsi="Arial" w:cs="Arial"/>
          <w:sz w:val="21"/>
          <w:szCs w:val="21"/>
          <w:highlight w:val="yellow"/>
        </w:rPr>
        <w:t xml:space="preserve">[correo]</w:t>
      </w:r>
      <w:r>
        <w:rPr>
          <w:rFonts w:ascii="Arial" w:hAnsi="Arial" w:cs="Arial"/>
          <w:sz w:val="21"/>
          <w:szCs w:val="21"/>
        </w:rPr>
        <w:t xml:space="preserve">.</w:t>
      </w:r>
    </w:p>
    <w:p>
      <w:pPr>
        <w:spacing w:before="0" w:after="60"/>
        <w:ind w:left="360"/>
      </w:pPr>
      <w:r>
        <w:rPr>
          <w:rFonts w:ascii="Arial" w:hAnsi="Arial" w:cs="Arial"/>
          <w:sz w:val="21"/>
          <w:szCs w:val="21"/>
        </w:rPr>
        <w:t xml:space="preserve">•  </w:t>
      </w:r>
      <w:r>
        <w:rPr>
          <w:rFonts w:ascii="Arial" w:hAnsi="Arial" w:cs="Arial"/>
          <w:sz w:val="21"/>
          <w:szCs w:val="21"/>
        </w:rPr>
        <w:t xml:space="preserve">Por teléfono o mensaje: </w:t>
      </w:r>
      <w:r>
        <w:rPr>
          <w:rFonts w:ascii="Arial" w:hAnsi="Arial" w:cs="Arial"/>
          <w:sz w:val="21"/>
          <w:szCs w:val="21"/>
          <w:highlight w:val="yellow"/>
        </w:rPr>
        <w:t xml:space="preserve">[teléfono]</w:t>
      </w:r>
      <w:r>
        <w:rPr>
          <w:rFonts w:ascii="Arial" w:hAnsi="Arial" w:cs="Arial"/>
          <w:sz w:val="21"/>
          <w:szCs w:val="21"/>
        </w:rPr>
        <w:t xml:space="preserve">.</w:t>
      </w:r>
    </w:p>
    <w:p>
      <w:pPr>
        <w:spacing w:before="0" w:after="60"/>
        <w:ind w:left="360"/>
      </w:pPr>
      <w:r>
        <w:rPr>
          <w:rFonts w:ascii="Arial" w:hAnsi="Arial" w:cs="Arial"/>
          <w:sz w:val="21"/>
          <w:szCs w:val="21"/>
        </w:rPr>
        <w:t xml:space="preserve">•  </w:t>
      </w:r>
      <w:r>
        <w:rPr>
          <w:rFonts w:ascii="Arial" w:hAnsi="Arial" w:cs="Arial"/>
          <w:sz w:val="21"/>
          <w:szCs w:val="21"/>
        </w:rPr>
        <w:t xml:space="preserve">Por escrito, en el buzón de </w:t>
      </w:r>
      <w:r>
        <w:rPr>
          <w:rFonts w:ascii="Arial" w:hAnsi="Arial" w:cs="Arial"/>
          <w:sz w:val="21"/>
          <w:szCs w:val="21"/>
          <w:highlight w:val="yellow"/>
        </w:rPr>
        <w:t xml:space="preserve">[lugar]</w:t>
      </w:r>
      <w:r>
        <w:rPr>
          <w:rFonts w:ascii="Arial" w:hAnsi="Arial" w:cs="Arial"/>
          <w:sz w:val="21"/>
          <w:szCs w:val="21"/>
        </w:rPr>
        <w:t xml:space="preserve">, con o sin nombre.</w:t>
      </w:r>
    </w:p>
    <w:p>
      <w:pPr>
        <w:spacing w:before="0" w:after="60"/>
        <w:ind w:left="360"/>
      </w:pPr>
      <w:r>
        <w:rPr>
          <w:rFonts w:ascii="Arial" w:hAnsi="Arial" w:cs="Arial"/>
          <w:sz w:val="21"/>
          <w:szCs w:val="21"/>
        </w:rPr>
        <w:t xml:space="preserve">•  </w:t>
      </w:r>
      <w:r>
        <w:rPr>
          <w:rFonts w:ascii="Arial" w:hAnsi="Arial" w:cs="Arial"/>
          <w:sz w:val="21"/>
          <w:szCs w:val="21"/>
        </w:rPr>
        <w:t xml:space="preserve">Si la queja es contra quien la recibe, preséntala ante </w:t>
      </w:r>
      <w:r>
        <w:rPr>
          <w:rFonts w:ascii="Arial" w:hAnsi="Arial" w:cs="Arial"/>
          <w:sz w:val="21"/>
          <w:szCs w:val="21"/>
          <w:highlight w:val="yellow"/>
        </w:rPr>
        <w:t xml:space="preserve">[segunda persona y cargo]</w:t>
      </w:r>
      <w:r>
        <w:rPr>
          <w:rFonts w:ascii="Arial" w:hAnsi="Arial" w:cs="Arial"/>
          <w:sz w:val="21"/>
          <w:szCs w:val="21"/>
        </w:rPr>
        <w:t xml:space="preserve">.</w:t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Lo que te garantizamos</w:t>
      </w:r>
    </w:p>
    <w:p>
      <w:pPr>
        <w:spacing w:before="0" w:after="60"/>
        <w:ind w:left="360"/>
      </w:pPr>
      <w:r>
        <w:rPr>
          <w:rFonts w:ascii="Arial" w:hAnsi="Arial" w:cs="Arial"/>
          <w:sz w:val="21"/>
          <w:szCs w:val="21"/>
        </w:rPr>
        <w:t xml:space="preserve">•  </w:t>
      </w:r>
      <w:r>
        <w:rPr>
          <w:rFonts w:ascii="Arial" w:hAnsi="Arial" w:cs="Arial"/>
          <w:sz w:val="21"/>
          <w:szCs w:val="21"/>
        </w:rPr>
        <w:t xml:space="preserve">Tu queja es confidencial: sólo la conoce quien la investiga.</w:t>
      </w:r>
    </w:p>
    <w:p>
      <w:pPr>
        <w:spacing w:before="0" w:after="60"/>
        <w:ind w:left="360"/>
      </w:pPr>
      <w:r>
        <w:rPr>
          <w:rFonts w:ascii="Arial" w:hAnsi="Arial" w:cs="Arial"/>
          <w:sz w:val="21"/>
          <w:szCs w:val="21"/>
        </w:rPr>
        <w:t xml:space="preserve">•  </w:t>
      </w:r>
      <w:r>
        <w:rPr>
          <w:rFonts w:ascii="Arial" w:hAnsi="Arial" w:cs="Arial"/>
          <w:sz w:val="21"/>
          <w:szCs w:val="21"/>
        </w:rPr>
        <w:t xml:space="preserve">No habrá represalias por presentarla.</w:t>
      </w:r>
    </w:p>
    <w:p>
      <w:pPr>
        <w:spacing w:before="0" w:after="60"/>
        <w:ind w:left="360"/>
      </w:pPr>
      <w:r>
        <w:rPr>
          <w:rFonts w:ascii="Arial" w:hAnsi="Arial" w:cs="Arial"/>
          <w:sz w:val="21"/>
          <w:szCs w:val="21"/>
        </w:rPr>
        <w:t xml:space="preserve">•  </w:t>
      </w:r>
      <w:r>
        <w:rPr>
          <w:rFonts w:ascii="Arial" w:hAnsi="Arial" w:cs="Arial"/>
          <w:sz w:val="21"/>
          <w:szCs w:val="21"/>
        </w:rPr>
        <w:t xml:space="preserve">Recibirás respuesta en un máximo de </w:t>
      </w:r>
      <w:r>
        <w:rPr>
          <w:rFonts w:ascii="Arial" w:hAnsi="Arial" w:cs="Arial"/>
          <w:sz w:val="21"/>
          <w:szCs w:val="21"/>
          <w:highlight w:val="yellow"/>
        </w:rPr>
        <w:t xml:space="preserve">[número]</w:t>
      </w:r>
      <w:r>
        <w:rPr>
          <w:rFonts w:ascii="Arial" w:hAnsi="Arial" w:cs="Arial"/>
          <w:sz w:val="21"/>
          <w:szCs w:val="21"/>
        </w:rPr>
        <w:t xml:space="preserve"> días hábiles.</w:t>
      </w:r>
    </w:p>
    <w:p>
      <w:pPr>
        <w:spacing w:before="0" w:after="120"/>
      </w:pPr>
      <w:r>
        <w:rPr>
          <w:rFonts w:ascii="Arial" w:hAnsi="Arial" w:cs="Arial"/>
          <w:i/>
          <w:color w:val="64748B"/>
          <w:sz w:val="17"/>
          <w:szCs w:val="17"/>
        </w:rPr>
        <w:t xml:space="preserve">Aviso conforme al numeral 8.1, inciso b), de la NOM-035-STPS-2018. Fecha de publicación: </w:t>
      </w:r>
      <w:r>
        <w:rPr>
          <w:rFonts w:ascii="Arial" w:hAnsi="Arial" w:cs="Arial"/>
          <w:i/>
          <w:color w:val="64748B"/>
          <w:sz w:val="17"/>
          <w:szCs w:val="17"/>
          <w:highlight w:val="yellow"/>
        </w:rPr>
        <w:t xml:space="preserve">[dd/mm/aaaa]</w:t>
      </w:r>
      <w:r>
        <w:rPr>
          <w:rFonts w:ascii="Arial" w:hAnsi="Arial" w:cs="Arial"/>
          <w:i/>
          <w:color w:val="64748B"/>
          <w:sz w:val="17"/>
          <w:szCs w:val="17"/>
        </w:rPr>
        <w:t xml:space="preserve">.</w:t>
      </w:r>
    </w:p>
    <w:p>
      <w:r>
        <w:br w:type="page"/>
      </w:r>
    </w:p>
    <w:p>
      <w:pPr>
        <w:spacing w:before="0" w:after="120"/>
        <w:jc w:val="center"/>
      </w:pPr>
      <w:r>
        <w:rPr>
          <w:rFonts w:ascii="Arial" w:hAnsi="Arial" w:cs="Arial"/>
          <w:b/>
          <w:sz w:val="30"/>
          <w:szCs w:val="30"/>
        </w:rPr>
        <w:t xml:space="preserve">PROCEDIMIENTO INTERNO DE ATENCIÓN DE QUEJAS</w:t>
      </w:r>
    </w:p>
    <w:p>
      <w:pPr>
        <w:spacing w:before="0" w:after="240"/>
        <w:jc w:val="center"/>
      </w:pP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[Razón social]</w:t>
      </w:r>
      <w:r>
        <w:rPr>
          <w:rFonts w:ascii="Arial" w:hAnsi="Arial" w:cs="Arial"/>
          <w:color w:val="475569"/>
          <w:sz w:val="19"/>
          <w:szCs w:val="19"/>
        </w:rPr>
        <w:t xml:space="preserve"> · Versión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[1]</w:t>
      </w:r>
      <w:r>
        <w:rPr>
          <w:rFonts w:ascii="Arial" w:hAnsi="Arial" w:cs="Arial"/>
          <w:color w:val="475569"/>
          <w:sz w:val="19"/>
          <w:szCs w:val="19"/>
        </w:rPr>
        <w:t xml:space="preserve"> ·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[dd/mm/aaaa]</w:t>
      </w:r>
    </w:p>
    <w:p>
      <w:pPr>
        <w:spacing w:before="0" w:after="140"/>
      </w:pPr>
      <w:r>
        <w:rPr>
          <w:rFonts w:ascii="Arial" w:hAnsi="Arial" w:cs="Arial"/>
          <w:i/>
          <w:color w:val="92400E"/>
          <w:sz w:val="18"/>
          <w:szCs w:val="18"/>
        </w:rPr>
        <w:t xml:space="preserve">Los textos en color ámbar y cursiva son orientación: bórrelos antes de firmar. Sustituya cada campo resaltado en amarillo.</w:t>
      </w:r>
    </w:p>
    <w:p>
      <w:pPr>
        <w:spacing w:before="0" w:after="140"/>
      </w:pPr>
      <w:r>
        <w:rPr>
          <w:rFonts w:ascii="Arial" w:hAnsi="Arial" w:cs="Arial"/>
          <w:i/>
          <w:color w:val="92400E"/>
          <w:sz w:val="18"/>
          <w:szCs w:val="18"/>
        </w:rPr>
        <w:t xml:space="preserve">El numeral 8.1, inciso b), sólo exige que el mecanismo sea seguro y confidencial. Los plazos de respuesta, la segunda persona receptora y el registro con folio son controles de buena práctica que recomendamos, no requisitos expresos de la norma: ajústelos a su centro de trabajo.</w:t>
      </w:r>
    </w:p>
    <w:p>
      <w:pPr>
        <w:keepNext/>
        <w:spacing w:before="120" w:after="60"/>
      </w:pPr>
      <w:r>
        <w:rPr>
          <w:rFonts w:ascii="Arial" w:hAnsi="Arial" w:cs="Arial"/>
          <w:b/>
          <w:sz w:val="21"/>
          <w:szCs w:val="21"/>
        </w:rPr>
        <w:t xml:space="preserve">1. Objeto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Establecer un mecanismo seguro y confidencial para recibir quejas por prácticas opuestas al entorno organizacional favorable y denuncias de actos de violencia laboral, conforme al numeral 8.1, inciso b), de la NOM-035-STPS-2018.</w:t>
      </w:r>
    </w:p>
    <w:p>
      <w:pPr>
        <w:keepNext/>
        <w:spacing w:before="120" w:after="60"/>
      </w:pPr>
      <w:r>
        <w:rPr>
          <w:rFonts w:ascii="Arial" w:hAnsi="Arial" w:cs="Arial"/>
          <w:b/>
          <w:sz w:val="21"/>
          <w:szCs w:val="21"/>
        </w:rPr>
        <w:t xml:space="preserve">2. Quién recibe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Recibe </w:t>
      </w:r>
      <w:r>
        <w:rPr>
          <w:rFonts w:ascii="Arial" w:hAnsi="Arial" w:cs="Arial"/>
          <w:sz w:val="21"/>
          <w:szCs w:val="21"/>
          <w:highlight w:val="yellow"/>
        </w:rPr>
        <w:t xml:space="preserve">[nombre y cargo]</w:t>
      </w:r>
      <w:r>
        <w:rPr>
          <w:rFonts w:ascii="Arial" w:hAnsi="Arial" w:cs="Arial"/>
          <w:sz w:val="21"/>
          <w:szCs w:val="21"/>
        </w:rPr>
        <w:t xml:space="preserve">. Si la queja involucra a esa persona o a su jefe directo, recibe </w:t>
      </w:r>
      <w:r>
        <w:rPr>
          <w:rFonts w:ascii="Arial" w:hAnsi="Arial" w:cs="Arial"/>
          <w:sz w:val="21"/>
          <w:szCs w:val="21"/>
          <w:highlight w:val="yellow"/>
        </w:rPr>
        <w:t xml:space="preserve">[segunda persona y cargo]</w:t>
      </w:r>
      <w:r>
        <w:rPr>
          <w:rFonts w:ascii="Arial" w:hAnsi="Arial" w:cs="Arial"/>
          <w:sz w:val="21"/>
          <w:szCs w:val="21"/>
        </w:rPr>
        <w:t xml:space="preserve">.</w:t>
      </w:r>
    </w:p>
    <w:p>
      <w:pPr>
        <w:keepNext/>
        <w:spacing w:before="120" w:after="60"/>
      </w:pPr>
      <w:r>
        <w:rPr>
          <w:rFonts w:ascii="Arial" w:hAnsi="Arial" w:cs="Arial"/>
          <w:b/>
          <w:sz w:val="21"/>
          <w:szCs w:val="21"/>
        </w:rPr>
        <w:t xml:space="preserve">3. Registro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Cada queja recibe un folio y se anota en el registro confidencial con fecha, canal, descripción de los hechos y personas involucradas. El registro lo resguarda </w:t>
      </w:r>
      <w:r>
        <w:rPr>
          <w:rFonts w:ascii="Arial" w:hAnsi="Arial" w:cs="Arial"/>
          <w:sz w:val="21"/>
          <w:szCs w:val="21"/>
          <w:highlight w:val="yellow"/>
        </w:rPr>
        <w:t xml:space="preserve">[cargo]</w:t>
      </w:r>
      <w:r>
        <w:rPr>
          <w:rFonts w:ascii="Arial" w:hAnsi="Arial" w:cs="Arial"/>
          <w:sz w:val="21"/>
          <w:szCs w:val="21"/>
        </w:rPr>
        <w:t xml:space="preserve"> con acceso restringido.</w:t>
      </w:r>
    </w:p>
    <w:p>
      <w:pPr>
        <w:keepNext/>
        <w:spacing w:before="120" w:after="60"/>
      </w:pPr>
      <w:r>
        <w:rPr>
          <w:rFonts w:ascii="Arial" w:hAnsi="Arial" w:cs="Arial"/>
          <w:b/>
          <w:sz w:val="21"/>
          <w:szCs w:val="21"/>
        </w:rPr>
        <w:t xml:space="preserve">4. Plazos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Acuse de recibo en </w:t>
      </w:r>
      <w:r>
        <w:rPr>
          <w:rFonts w:ascii="Arial" w:hAnsi="Arial" w:cs="Arial"/>
          <w:sz w:val="21"/>
          <w:szCs w:val="21"/>
          <w:highlight w:val="yellow"/>
        </w:rPr>
        <w:t xml:space="preserve">[2]</w:t>
      </w:r>
      <w:r>
        <w:rPr>
          <w:rFonts w:ascii="Arial" w:hAnsi="Arial" w:cs="Arial"/>
          <w:sz w:val="21"/>
          <w:szCs w:val="21"/>
        </w:rPr>
        <w:t xml:space="preserve"> días hábiles; investigación y resolución en </w:t>
      </w:r>
      <w:r>
        <w:rPr>
          <w:rFonts w:ascii="Arial" w:hAnsi="Arial" w:cs="Arial"/>
          <w:sz w:val="21"/>
          <w:szCs w:val="21"/>
          <w:highlight w:val="yellow"/>
        </w:rPr>
        <w:t xml:space="preserve">[15]</w:t>
      </w:r>
      <w:r>
        <w:rPr>
          <w:rFonts w:ascii="Arial" w:hAnsi="Arial" w:cs="Arial"/>
          <w:sz w:val="21"/>
          <w:szCs w:val="21"/>
        </w:rPr>
        <w:t xml:space="preserve"> días hábiles; comunicación del resultado a quien presentó la queja, sin revelar datos de terceros.</w:t>
      </w:r>
    </w:p>
    <w:p>
      <w:pPr>
        <w:keepNext/>
        <w:spacing w:before="120" w:after="60"/>
      </w:pPr>
      <w:r>
        <w:rPr>
          <w:rFonts w:ascii="Arial" w:hAnsi="Arial" w:cs="Arial"/>
          <w:b/>
          <w:sz w:val="21"/>
          <w:szCs w:val="21"/>
        </w:rPr>
        <w:t xml:space="preserve">5. Investigación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Se escucha a quien presentó la queja, a la persona señalada y, en su caso, a testigos, por separado. Se levanta constancia firmada de cada entrevista.</w:t>
      </w:r>
    </w:p>
    <w:p>
      <w:pPr>
        <w:keepNext/>
        <w:spacing w:before="120" w:after="60"/>
      </w:pPr>
      <w:r>
        <w:rPr>
          <w:rFonts w:ascii="Arial" w:hAnsi="Arial" w:cs="Arial"/>
          <w:b/>
          <w:sz w:val="21"/>
          <w:szCs w:val="21"/>
        </w:rPr>
        <w:t xml:space="preserve">6. Medidas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Las medidas pueden ser preventivas (separar a las personas mientras se investiga) o correctivas, conforme al Reglamento Interior de Trabajo y a la Ley Federal del Trabajo. Si hay afectación a la salud, se canaliza conforme al numeral 5.6.</w:t>
      </w:r>
    </w:p>
    <w:p>
      <w:pPr>
        <w:keepNext/>
        <w:spacing w:before="120" w:after="60"/>
      </w:pPr>
      <w:r>
        <w:rPr>
          <w:rFonts w:ascii="Arial" w:hAnsi="Arial" w:cs="Arial"/>
          <w:b/>
          <w:sz w:val="21"/>
          <w:szCs w:val="21"/>
        </w:rPr>
        <w:t xml:space="preserve">7. No represalias y confidencialidad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Queda prohibida cualquier represalia contra quien presente una queja de buena fe o participe como testigo. La información se usa sólo para atender la queja.</w:t>
      </w:r>
    </w:p>
    <w:p>
      <w:pPr>
        <w:keepNext/>
        <w:spacing w:before="120" w:after="60"/>
      </w:pPr>
      <w:r>
        <w:rPr>
          <w:rFonts w:ascii="Arial" w:hAnsi="Arial" w:cs="Arial"/>
          <w:b/>
          <w:sz w:val="21"/>
          <w:szCs w:val="21"/>
        </w:rPr>
        <w:t xml:space="preserve">8. Quejas sin fundamento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Una queja que resulte infundada no genera sanción para quien la presentó, salvo que se acredite que se hizo de mala fe.</w:t>
      </w:r>
    </w:p>
    <w:p>
      <w:pPr>
        <w:keepNext/>
        <w:spacing w:before="480" w:after="0"/>
      </w:pPr>
      <w:r>
        <w:rPr>
          <w:rFonts w:ascii="Arial" w:hAnsi="Arial" w:cs="Arial"/>
          <w:sz w:val="21"/>
          <w:szCs w:val="21"/>
        </w:rPr>
        <w:t xml:space="preserve"/>
      </w:r>
    </w:p>
    <w:p>
      <w:pPr>
        <w:keepNext/>
        <w:spacing w:before="0" w:after="40"/>
        <w:jc w:val="center"/>
      </w:pPr>
      <w:r>
        <w:rPr>
          <w:rFonts w:ascii="Arial" w:hAnsi="Arial" w:cs="Arial"/>
          <w:sz w:val="21"/>
          <w:szCs w:val="21"/>
        </w:rPr>
        <w:t xml:space="preserve">_______________________________________</w:t>
      </w:r>
    </w:p>
    <w:p>
      <w:pPr>
        <w:keepNext/>
        <w:spacing w:before="0" w:after="20"/>
        <w:jc w:val="center"/>
      </w:pPr>
      <w:r>
        <w:rPr>
          <w:rFonts w:ascii="Arial" w:hAnsi="Arial" w:cs="Arial"/>
          <w:b/>
          <w:sz w:val="20"/>
          <w:szCs w:val="20"/>
          <w:highlight w:val="yellow"/>
        </w:rPr>
        <w:t xml:space="preserve">[Nombre del patrón o representante legal]</w:t>
      </w:r>
    </w:p>
    <w:p>
      <w:pPr>
        <w:spacing w:before="0" w:after="160"/>
        <w:jc w:val="center"/>
      </w:pPr>
      <w:r>
        <w:rPr>
          <w:rFonts w:ascii="Arial" w:hAnsi="Arial" w:cs="Arial"/>
          <w:sz w:val="18"/>
          <w:szCs w:val="18"/>
          <w:highlight w:val="yellow"/>
        </w:rPr>
        <w:t xml:space="preserve">[Cargo]</w:t>
      </w:r>
    </w:p>
    <w:sectPr>
      <w:headerReference w:type="default" r:id="rIdHdr"/>
      <w:footerReference w:type="default" r:id="rIdFtr"/>
      <w:pgSz w:w="12240" w:h="15840"/>
      <w:pgMar w:top="1300" w:right="1440" w:bottom="1200" w:left="1440" w:header="560" w:footer="48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rFonts w:ascii="Arial" w:hAnsi="Arial" w:cs="Arial"/>
        <w:i/>
        <w:color w:val="64748B"/>
        <w:sz w:val="15"/>
        <w:szCs w:val="15"/>
      </w:rPr>
      <w:t xml:space="preserve">Formato de referencia elaborado por Calcu.mx — no sustituye asesoría profesional</w:t>
    </w:r>
  </w:p>
  <w:p>
    <w:pPr>
      <w:spacing w:before="0" w:after="0"/>
      <w:jc w:val="center"/>
    </w:pPr>
    <w:r>
      <w:rPr>
        <w:rFonts w:ascii="Arial" w:hAnsi="Arial" w:cs="Arial"/>
        <w:color w:val="64748B"/>
        <w:sz w:val="15"/>
        <w:szCs w:val="15"/>
      </w:rPr>
      <w:t xml:space="preserve">Página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PAGE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  <w:r>
      <w:rPr>
        <w:rFonts w:ascii="Arial" w:hAnsi="Arial" w:cs="Arial"/>
        <w:color w:val="64748B"/>
        <w:sz w:val="15"/>
        <w:szCs w:val="15"/>
      </w:rPr>
      <w:t xml:space="preserve"> de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NUMPAGES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</w:p>
</w:ftr>
</file>

<file path=word/header1.xml><?xml version="1.0" encoding="utf-8"?>
<w:hdr xmlns:w="http://schemas.openxmlformats.org/wordprocessingml/2006/main">
  <w:p>
    <w:pPr>
      <w:spacing w:before="0" w:after="0"/>
    </w:pPr>
    <w:r>
      <w:rPr>
        <w:rFonts w:ascii="Arial" w:hAnsi="Arial" w:cs="Arial"/>
        <w:b/>
        <w:sz w:val="18"/>
        <w:szCs w:val="18"/>
        <w:highlight w:val="yellow"/>
      </w:rPr>
      <w:t xml:space="preserve">[Nombre, denominación o razón social del centro de trabajo]</w:t>
    </w:r>
  </w:p>
  <w:p>
    <w:pPr>
      <w:spacing w:before="0" w:after="120"/>
    </w:pPr>
    <w:r>
      <w:rPr>
        <w:rFonts w:ascii="Arial" w:hAnsi="Arial" w:cs="Arial"/>
        <w:color w:val="475569"/>
        <w:sz w:val="16"/>
        <w:szCs w:val="16"/>
      </w:rPr>
      <w:t xml:space="preserve">NOM-035-STPS-2018 · Numeral 8.1, inciso b)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es-MX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" Type="http://schemas.openxmlformats.org/officeDocument/2006/relationships/styles" Target="styles.xm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Mecanismo de quejas y denuncia de violencia laboral</dc:title>
  <dc:creator>Calcu.mx</dc:creator>
  <dc:language>es-MX</dc:language>
  <dcterms:created xsi:type="dcterms:W3CDTF">2026-09-21T12:00:00Z</dcterms:created>
</cp:coreProperties>
</file>