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center"/>
      </w:pPr>
      <w:r>
        <w:rPr>
          <w:rFonts w:ascii="Arial" w:hAnsi="Arial" w:cs="Arial"/>
          <w:b/>
          <w:sz w:val="30"/>
          <w:szCs w:val="30"/>
        </w:rPr>
        <w:t xml:space="preserve">POLÍTICA DE PREVENCIÓN DE RIESGOS PSICOSOCIALES</w:t>
      </w:r>
    </w:p>
    <w:p>
      <w:pPr>
        <w:spacing w:before="0" w:after="240"/>
        <w:jc w:val="center"/>
      </w:pPr>
      <w:r>
        <w:rPr>
          <w:rFonts w:ascii="Arial" w:hAnsi="Arial" w:cs="Arial"/>
          <w:color w:val="475569"/>
          <w:sz w:val="19"/>
          <w:szCs w:val="19"/>
          <w:highlight w:val="yellow"/>
        </w:rPr>
        <w:t xml:space="preserve">[Razón social]</w:t>
      </w:r>
      <w:r>
        <w:rPr>
          <w:rFonts w:ascii="Arial" w:hAnsi="Arial" w:cs="Arial"/>
          <w:color w:val="475569"/>
          <w:sz w:val="19"/>
          <w:szCs w:val="19"/>
        </w:rPr>
        <w:t xml:space="preserve"> · Centro de trabajo ubicado en </w:t>
      </w:r>
      <w:r>
        <w:rPr>
          <w:rFonts w:ascii="Arial" w:hAnsi="Arial" w:cs="Arial"/>
          <w:color w:val="475569"/>
          <w:sz w:val="19"/>
          <w:szCs w:val="19"/>
          <w:highlight w:val="yellow"/>
        </w:rPr>
        <w:t xml:space="preserve">[domicilio del centro de trabajo]</w:t>
      </w:r>
    </w:p>
    <w:p>
      <w:pPr>
        <w:spacing w:before="0" w:after="140"/>
      </w:pPr>
      <w:r>
        <w:rPr>
          <w:rFonts w:ascii="Arial" w:hAnsi="Arial" w:cs="Arial"/>
          <w:i/>
          <w:color w:val="92400E"/>
          <w:sz w:val="18"/>
          <w:szCs w:val="18"/>
        </w:rPr>
        <w:t xml:space="preserve">Los textos en color ámbar y cursiva son orientación: bórrelos antes de firmar. Sustituya cada campo resaltado en amarillo.</w:t>
      </w:r>
    </w:p>
    <w:p>
      <w:pPr>
        <w:spacing w:before="0" w:after="140"/>
      </w:pPr>
      <w:r>
        <w:rPr>
          <w:rFonts w:ascii="Arial" w:hAnsi="Arial" w:cs="Arial"/>
          <w:i/>
          <w:color w:val="92400E"/>
          <w:sz w:val="18"/>
          <w:szCs w:val="18"/>
        </w:rPr>
        <w:t xml:space="preserve">El numeral 5.1 exige que la política conste por escrito y contemple tres cosas. Se escriben con las palabras de la norma para que quien revise las encuentre sin interpretar. Puede añadir compromisos propios, pero no quitar ninguno de los tres.</w:t>
      </w:r>
    </w:p>
    <w:p>
      <w:pPr>
        <w:spacing w:before="0" w:after="140"/>
      </w:pPr>
      <w:r>
        <w:rPr>
          <w:rFonts w:ascii="Arial" w:hAnsi="Arial" w:cs="Arial"/>
          <w:i/>
          <w:color w:val="92400E"/>
          <w:sz w:val="18"/>
          <w:szCs w:val="18"/>
        </w:rPr>
        <w:t xml:space="preserve">Lo que no es requisito textual del 5.1 sino buena práctica: la fecha y la firma (la mejor evidencia de que la política se estableció y desde cuándo), el canal de quejas con nombre y la cláusula de revisión. La NOM-035 no fija un plazo para revisar la política —los dos años del numeral 7.9 son de la evaluación—; la cláusula de revisión es voluntaria y puede borrarla.</w:t>
      </w:r>
    </w:p>
    <w:p>
      <w:pPr>
        <w:spacing w:before="0" w:after="120"/>
        <w:jc w:val="both"/>
      </w:pPr>
      <w:r>
        <w:rPr>
          <w:rFonts w:ascii="Arial" w:hAnsi="Arial" w:cs="Arial"/>
          <w:sz w:val="21"/>
          <w:szCs w:val="21"/>
          <w:highlight w:val="yellow"/>
        </w:rPr>
        <w:t xml:space="preserve">[Razón social]</w:t>
      </w:r>
      <w:r>
        <w:rPr>
          <w:rFonts w:ascii="Arial" w:hAnsi="Arial" w:cs="Arial"/>
          <w:sz w:val="21"/>
          <w:szCs w:val="21"/>
        </w:rPr>
        <w:t xml:space="preserve">, en su centro de trabajo ubicado en </w:t>
      </w:r>
      <w:r>
        <w:rPr>
          <w:rFonts w:ascii="Arial" w:hAnsi="Arial" w:cs="Arial"/>
          <w:sz w:val="21"/>
          <w:szCs w:val="21"/>
          <w:highlight w:val="yellow"/>
        </w:rPr>
        <w:t xml:space="preserve">[domicilio]</w:t>
      </w:r>
      <w:r>
        <w:rPr>
          <w:rFonts w:ascii="Arial" w:hAnsi="Arial" w:cs="Arial"/>
          <w:sz w:val="21"/>
          <w:szCs w:val="21"/>
        </w:rPr>
        <w:t xml:space="preserve">, con </w:t>
      </w:r>
      <w:r>
        <w:rPr>
          <w:rFonts w:ascii="Arial" w:hAnsi="Arial" w:cs="Arial"/>
          <w:sz w:val="21"/>
          <w:szCs w:val="21"/>
          <w:highlight w:val="yellow"/>
        </w:rPr>
        <w:t xml:space="preserve">[número]</w:t>
      </w:r>
      <w:r>
        <w:rPr>
          <w:rFonts w:ascii="Arial" w:hAnsi="Arial" w:cs="Arial"/>
          <w:sz w:val="21"/>
          <w:szCs w:val="21"/>
        </w:rPr>
        <w:t xml:space="preserve"> personas trabajadoras, asume por escrito esta política de prevención de riesgos psicosociales conforme al numeral 5.1 de la NOM-035-STPS-2018, y se compromete a:</w:t>
      </w:r>
    </w:p>
    <w:p>
      <w:pPr>
        <w:spacing w:before="0" w:after="60"/>
        <w:ind w:left="360"/>
      </w:pPr>
      <w:r>
        <w:rPr>
          <w:rFonts w:ascii="Arial" w:hAnsi="Arial" w:cs="Arial"/>
          <w:sz w:val="21"/>
          <w:szCs w:val="21"/>
        </w:rPr>
        <w:t xml:space="preserve">•  </w:t>
      </w:r>
      <w:r>
        <w:rPr>
          <w:rFonts w:ascii="Arial" w:hAnsi="Arial" w:cs="Arial"/>
          <w:sz w:val="21"/>
          <w:szCs w:val="21"/>
        </w:rPr>
        <w:t xml:space="preserve">a) La prevención de los factores de riesgo psicosocial.</w:t>
      </w:r>
    </w:p>
    <w:p>
      <w:pPr>
        <w:spacing w:before="0" w:after="60"/>
        <w:ind w:left="360"/>
      </w:pPr>
      <w:r>
        <w:rPr>
          <w:rFonts w:ascii="Arial" w:hAnsi="Arial" w:cs="Arial"/>
          <w:sz w:val="21"/>
          <w:szCs w:val="21"/>
        </w:rPr>
        <w:t xml:space="preserve">•  </w:t>
      </w:r>
      <w:r>
        <w:rPr>
          <w:rFonts w:ascii="Arial" w:hAnsi="Arial" w:cs="Arial"/>
          <w:sz w:val="21"/>
          <w:szCs w:val="21"/>
        </w:rPr>
        <w:t xml:space="preserve">b) La prevención de la violencia laboral.</w:t>
      </w:r>
    </w:p>
    <w:p>
      <w:pPr>
        <w:spacing w:before="0" w:after="60"/>
        <w:ind w:left="360"/>
      </w:pPr>
      <w:r>
        <w:rPr>
          <w:rFonts w:ascii="Arial" w:hAnsi="Arial" w:cs="Arial"/>
          <w:sz w:val="21"/>
          <w:szCs w:val="21"/>
        </w:rPr>
        <w:t xml:space="preserve">•  </w:t>
      </w:r>
      <w:r>
        <w:rPr>
          <w:rFonts w:ascii="Arial" w:hAnsi="Arial" w:cs="Arial"/>
          <w:sz w:val="21"/>
          <w:szCs w:val="21"/>
        </w:rPr>
        <w:t xml:space="preserve">c) La promoción de un entorno organizacional favorable.</w:t>
      </w:r>
    </w:p>
    <w:p>
      <w:pPr>
        <w:keepNext/>
        <w:spacing w:before="200" w:after="100"/>
      </w:pPr>
      <w:r>
        <w:rPr>
          <w:rFonts w:ascii="Arial" w:hAnsi="Arial" w:cs="Arial"/>
          <w:b/>
          <w:color w:val="701B37"/>
          <w:sz w:val="24"/>
          <w:szCs w:val="24"/>
        </w:rPr>
        <w:t xml:space="preserve">Alcance</w:t>
      </w:r>
    </w:p>
    <w:p>
      <w:pPr>
        <w:spacing w:before="0" w:after="120"/>
        <w:jc w:val="both"/>
      </w:pPr>
      <w:r>
        <w:rPr>
          <w:rFonts w:ascii="Arial" w:hAnsi="Arial" w:cs="Arial"/>
          <w:sz w:val="21"/>
          <w:szCs w:val="21"/>
        </w:rPr>
        <w:t xml:space="preserve">Esta política aplica a todas las personas trabajadoras de este centro de trabajo, sin distinción de puesto, turno, tipo de contratación o antigüedad, incluidos quienes supervisan, dirigen o representan al patrón.</w:t>
      </w:r>
    </w:p>
    <w:p>
      <w:pPr>
        <w:keepNext/>
        <w:spacing w:before="200" w:after="100"/>
      </w:pPr>
      <w:r>
        <w:rPr>
          <w:rFonts w:ascii="Arial" w:hAnsi="Arial" w:cs="Arial"/>
          <w:b/>
          <w:color w:val="701B37"/>
          <w:sz w:val="24"/>
          <w:szCs w:val="24"/>
        </w:rPr>
        <w:t xml:space="preserve">Cómo se cumple</w:t>
      </w:r>
    </w:p>
    <w:p>
      <w:pPr>
        <w:spacing w:before="0" w:after="120"/>
        <w:jc w:val="both"/>
      </w:pPr>
      <w:r>
        <w:rPr>
          <w:rFonts w:ascii="Arial" w:hAnsi="Arial" w:cs="Arial"/>
          <w:sz w:val="21"/>
          <w:szCs w:val="21"/>
        </w:rPr>
        <w:t xml:space="preserve">Para prevenir los factores de riesgo psicosocial, se revisan las cargas de trabajo, las jornadas —que se ajustan a la Ley Federal del Trabajo—, la claridad de funciones y la capacitación, y se atienden los resultados de las evaluaciones que corresponden a este centro de trabajo.</w:t>
      </w:r>
    </w:p>
    <w:p>
      <w:pPr>
        <w:spacing w:before="0" w:after="120"/>
        <w:jc w:val="both"/>
      </w:pPr>
      <w:r>
        <w:rPr>
          <w:rFonts w:ascii="Arial" w:hAnsi="Arial" w:cs="Arial"/>
          <w:sz w:val="21"/>
          <w:szCs w:val="21"/>
        </w:rPr>
        <w:t xml:space="preserve">Para prevenir la violencia laboral, no se toleran actos de hostigamiento, acoso o malos tratos. Quien los cometa será sancionado conforme al Reglamento Interior de Trabajo y a la ley, sin perjuicio de otras acciones.</w:t>
      </w:r>
    </w:p>
    <w:p>
      <w:pPr>
        <w:spacing w:before="0" w:after="120"/>
        <w:jc w:val="both"/>
      </w:pPr>
      <w:r>
        <w:rPr>
          <w:rFonts w:ascii="Arial" w:hAnsi="Arial" w:cs="Arial"/>
          <w:sz w:val="21"/>
          <w:szCs w:val="21"/>
        </w:rPr>
        <w:t xml:space="preserve">Para promover un entorno organizacional favorable, se fomentan el sentido de pertenencia, la comunicación entre quienes integran el centro de trabajo, la participación de las personas trabajadoras y el reconocimiento del desempeño.</w:t>
      </w:r>
    </w:p>
    <w:p>
      <w:pPr>
        <w:keepNext/>
        <w:spacing w:before="200" w:after="100"/>
      </w:pPr>
      <w:r>
        <w:rPr>
          <w:rFonts w:ascii="Arial" w:hAnsi="Arial" w:cs="Arial"/>
          <w:b/>
          <w:color w:val="701B37"/>
          <w:sz w:val="24"/>
          <w:szCs w:val="24"/>
        </w:rPr>
        <w:t xml:space="preserve">Mecanismo de quejas</w:t>
      </w:r>
    </w:p>
    <w:p>
      <w:pPr>
        <w:spacing w:before="0" w:after="120"/>
        <w:jc w:val="both"/>
      </w:pPr>
      <w:r>
        <w:rPr>
          <w:rFonts w:ascii="Arial" w:hAnsi="Arial" w:cs="Arial"/>
          <w:sz w:val="21"/>
          <w:szCs w:val="21"/>
        </w:rPr>
        <w:t xml:space="preserve">Cualquier persona puede presentar una queja por prácticas opuestas al entorno organizacional favorable o denunciar un acto de violencia laboral ante </w:t>
      </w:r>
      <w:r>
        <w:rPr>
          <w:rFonts w:ascii="Arial" w:hAnsi="Arial" w:cs="Arial"/>
          <w:sz w:val="21"/>
          <w:szCs w:val="21"/>
          <w:highlight w:val="yellow"/>
        </w:rPr>
        <w:t xml:space="preserve">[nombre y cargo de quien recibe]</w:t>
      </w:r>
      <w:r>
        <w:rPr>
          <w:rFonts w:ascii="Arial" w:hAnsi="Arial" w:cs="Arial"/>
          <w:sz w:val="21"/>
          <w:szCs w:val="21"/>
        </w:rPr>
        <w:t xml:space="preserve">, por </w:t>
      </w:r>
      <w:r>
        <w:rPr>
          <w:rFonts w:ascii="Arial" w:hAnsi="Arial" w:cs="Arial"/>
          <w:sz w:val="21"/>
          <w:szCs w:val="21"/>
          <w:highlight w:val="yellow"/>
        </w:rPr>
        <w:t xml:space="preserve">[correo electrónico]</w:t>
      </w:r>
      <w:r>
        <w:rPr>
          <w:rFonts w:ascii="Arial" w:hAnsi="Arial" w:cs="Arial"/>
          <w:sz w:val="21"/>
          <w:szCs w:val="21"/>
        </w:rPr>
        <w:t xml:space="preserve"> o </w:t>
      </w:r>
      <w:r>
        <w:rPr>
          <w:rFonts w:ascii="Arial" w:hAnsi="Arial" w:cs="Arial"/>
          <w:sz w:val="21"/>
          <w:szCs w:val="21"/>
          <w:highlight w:val="yellow"/>
        </w:rPr>
        <w:t xml:space="preserve">[teléfono]</w:t>
      </w:r>
      <w:r>
        <w:rPr>
          <w:rFonts w:ascii="Arial" w:hAnsi="Arial" w:cs="Arial"/>
          <w:sz w:val="21"/>
          <w:szCs w:val="21"/>
        </w:rPr>
        <w:t xml:space="preserve">, o por escrito en </w:t>
      </w:r>
      <w:r>
        <w:rPr>
          <w:rFonts w:ascii="Arial" w:hAnsi="Arial" w:cs="Arial"/>
          <w:sz w:val="21"/>
          <w:szCs w:val="21"/>
          <w:highlight w:val="yellow"/>
        </w:rPr>
        <w:t xml:space="preserve">[lugar]</w:t>
      </w:r>
      <w:r>
        <w:rPr>
          <w:rFonts w:ascii="Arial" w:hAnsi="Arial" w:cs="Arial"/>
          <w:sz w:val="21"/>
          <w:szCs w:val="21"/>
        </w:rPr>
        <w:t xml:space="preserve">. Las quejas se tratan de forma confidencial y no dan lugar a represalias contra quien las presenta.</w:t>
      </w:r>
    </w:p>
    <w:p>
      <w:pPr>
        <w:keepNext/>
        <w:spacing w:before="200" w:after="100"/>
      </w:pPr>
      <w:r>
        <w:rPr>
          <w:rFonts w:ascii="Arial" w:hAnsi="Arial" w:cs="Arial"/>
          <w:b/>
          <w:color w:val="701B37"/>
          <w:sz w:val="24"/>
          <w:szCs w:val="24"/>
        </w:rPr>
        <w:t xml:space="preserve">Difusión y revisión</w:t>
      </w:r>
    </w:p>
    <w:p>
      <w:pPr>
        <w:spacing w:before="0" w:after="120"/>
        <w:jc w:val="both"/>
      </w:pPr>
      <w:r>
        <w:rPr>
          <w:rFonts w:ascii="Arial" w:hAnsi="Arial" w:cs="Arial"/>
          <w:sz w:val="21"/>
          <w:szCs w:val="21"/>
        </w:rPr>
        <w:t xml:space="preserve">Esta política se da a conocer a todas las personas trabajadoras por </w:t>
      </w:r>
      <w:r>
        <w:rPr>
          <w:rFonts w:ascii="Arial" w:hAnsi="Arial" w:cs="Arial"/>
          <w:sz w:val="21"/>
          <w:szCs w:val="21"/>
          <w:highlight w:val="yellow"/>
        </w:rPr>
        <w:t xml:space="preserve">[medio de difusión: pizarrón de avisos, correo electrónico, intranet o entrega física]</w:t>
      </w:r>
      <w:r>
        <w:rPr>
          <w:rFonts w:ascii="Arial" w:hAnsi="Arial" w:cs="Arial"/>
          <w:sz w:val="21"/>
          <w:szCs w:val="21"/>
        </w:rPr>
        <w:t xml:space="preserve"> y está disponible para su consulta en </w:t>
      </w:r>
      <w:r>
        <w:rPr>
          <w:rFonts w:ascii="Arial" w:hAnsi="Arial" w:cs="Arial"/>
          <w:sz w:val="21"/>
          <w:szCs w:val="21"/>
          <w:highlight w:val="yellow"/>
        </w:rPr>
        <w:t xml:space="preserve">[lugar]</w:t>
      </w:r>
      <w:r>
        <w:rPr>
          <w:rFonts w:ascii="Arial" w:hAnsi="Arial" w:cs="Arial"/>
          <w:sz w:val="21"/>
          <w:szCs w:val="21"/>
        </w:rPr>
        <w:t xml:space="preserve">.</w:t>
      </w:r>
    </w:p>
    <w:p>
      <w:pPr>
        <w:spacing w:before="0" w:after="120"/>
        <w:jc w:val="both"/>
      </w:pPr>
      <w:r>
        <w:rPr>
          <w:rFonts w:ascii="Arial" w:hAnsi="Arial" w:cs="Arial"/>
          <w:sz w:val="21"/>
          <w:szCs w:val="21"/>
          <w:highlight w:val="yellow"/>
        </w:rPr>
        <w:t xml:space="preserve">[Cláusula opcional:]</w:t>
      </w:r>
      <w:r>
        <w:rPr>
          <w:rFonts w:ascii="Arial" w:hAnsi="Arial" w:cs="Arial"/>
          <w:sz w:val="21"/>
          <w:szCs w:val="21"/>
        </w:rPr>
        <w:t xml:space="preserve"> Como buena práctica interna voluntaria —la NOM-035-STPS-2018 no fija un plazo para revisar la política—, se revisará cuando el centro de trabajo cambie sustancialmente y al menos cada dos años.</w:t>
      </w:r>
    </w:p>
    <w:p>
      <w:pPr>
        <w:spacing w:before="0" w:after="80"/>
      </w:pPr>
      <w:r>
        <w:rPr>
          <w:rFonts w:ascii="Arial" w:hAnsi="Arial" w:cs="Arial"/>
          <w:b/>
          <w:sz w:val="21"/>
          <w:szCs w:val="21"/>
        </w:rPr>
        <w:t xml:space="preserve">Lugar y fecha: </w:t>
      </w:r>
      <w:r>
        <w:rPr>
          <w:rFonts w:ascii="Arial" w:hAnsi="Arial" w:cs="Arial"/>
          <w:sz w:val="21"/>
          <w:szCs w:val="21"/>
          <w:highlight w:val="yellow"/>
        </w:rPr>
        <w:t xml:space="preserve">[Ciudad]</w:t>
      </w:r>
      <w:r>
        <w:rPr>
          <w:rFonts w:ascii="Arial" w:hAnsi="Arial" w:cs="Arial"/>
          <w:sz w:val="21"/>
          <w:szCs w:val="21"/>
        </w:rPr>
        <w:t xml:space="preserve">, a </w:t>
      </w:r>
      <w:r>
        <w:rPr>
          <w:rFonts w:ascii="Arial" w:hAnsi="Arial" w:cs="Arial"/>
          <w:sz w:val="21"/>
          <w:szCs w:val="21"/>
          <w:highlight w:val="yellow"/>
        </w:rPr>
        <w:t xml:space="preserve">[día]</w:t>
      </w:r>
      <w:r>
        <w:rPr>
          <w:rFonts w:ascii="Arial" w:hAnsi="Arial" w:cs="Arial"/>
          <w:sz w:val="21"/>
          <w:szCs w:val="21"/>
        </w:rPr>
        <w:t xml:space="preserve"> de </w:t>
      </w:r>
      <w:r>
        <w:rPr>
          <w:rFonts w:ascii="Arial" w:hAnsi="Arial" w:cs="Arial"/>
          <w:sz w:val="21"/>
          <w:szCs w:val="21"/>
          <w:highlight w:val="yellow"/>
        </w:rPr>
        <w:t xml:space="preserve">[mes]</w:t>
      </w:r>
      <w:r>
        <w:rPr>
          <w:rFonts w:ascii="Arial" w:hAnsi="Arial" w:cs="Arial"/>
          <w:sz w:val="21"/>
          <w:szCs w:val="21"/>
        </w:rPr>
        <w:t xml:space="preserve"> de </w:t>
      </w:r>
      <w:r>
        <w:rPr>
          <w:rFonts w:ascii="Arial" w:hAnsi="Arial" w:cs="Arial"/>
          <w:sz w:val="21"/>
          <w:szCs w:val="21"/>
          <w:highlight w:val="yellow"/>
        </w:rPr>
        <w:t xml:space="preserve">[año]</w:t>
      </w:r>
      <w:r>
        <w:rPr>
          <w:rFonts w:ascii="Arial" w:hAnsi="Arial" w:cs="Arial"/>
          <w:sz w:val="21"/>
          <w:szCs w:val="21"/>
        </w:rPr>
        <w:t xml:space="preserve">.</w:t>
      </w:r>
    </w:p>
    <w:p>
      <w:pPr>
        <w:keepNext/>
        <w:spacing w:before="480" w:after="0"/>
      </w:pPr>
      <w:r>
        <w:rPr>
          <w:rFonts w:ascii="Arial" w:hAnsi="Arial" w:cs="Arial"/>
          <w:sz w:val="21"/>
          <w:szCs w:val="21"/>
        </w:rPr>
        <w:t xml:space="preserve"/>
      </w:r>
    </w:p>
    <w:p>
      <w:pPr>
        <w:keepNext/>
        <w:spacing w:before="0" w:after="40"/>
        <w:jc w:val="center"/>
      </w:pPr>
      <w:r>
        <w:rPr>
          <w:rFonts w:ascii="Arial" w:hAnsi="Arial" w:cs="Arial"/>
          <w:sz w:val="21"/>
          <w:szCs w:val="21"/>
        </w:rPr>
        <w:t xml:space="preserve">_______________________________________</w:t>
      </w:r>
    </w:p>
    <w:p>
      <w:pPr>
        <w:keepNext/>
        <w:spacing w:before="0" w:after="20"/>
        <w:jc w:val="center"/>
      </w:pPr>
      <w:r>
        <w:rPr>
          <w:rFonts w:ascii="Arial" w:hAnsi="Arial" w:cs="Arial"/>
          <w:b/>
          <w:sz w:val="20"/>
          <w:szCs w:val="20"/>
          <w:highlight w:val="yellow"/>
        </w:rPr>
        <w:t xml:space="preserve">[Nombre del patrón o representante legal]</w:t>
      </w:r>
    </w:p>
    <w:p>
      <w:pPr>
        <w:spacing w:before="0" w:after="160"/>
        <w:jc w:val="center"/>
      </w:pPr>
      <w:r>
        <w:rPr>
          <w:rFonts w:ascii="Arial" w:hAnsi="Arial" w:cs="Arial"/>
          <w:sz w:val="18"/>
          <w:szCs w:val="18"/>
          <w:highlight w:val="yellow"/>
        </w:rPr>
        <w:t xml:space="preserve">[Cargo]</w:t>
      </w:r>
    </w:p>
    <w:sectPr>
      <w:headerReference w:type="default" r:id="rIdHdr"/>
      <w:footerReference w:type="default" r:id="rIdFtr"/>
      <w:pgSz w:w="12240" w:h="15840"/>
      <w:pgMar w:top="1300" w:right="1440" w:bottom="1200" w:left="1440" w:header="560" w:footer="48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  <w:jc w:val="center"/>
    </w:pPr>
    <w:r>
      <w:rPr>
        <w:rFonts w:ascii="Arial" w:hAnsi="Arial" w:cs="Arial"/>
        <w:i/>
        <w:color w:val="64748B"/>
        <w:sz w:val="15"/>
        <w:szCs w:val="15"/>
      </w:rPr>
      <w:t xml:space="preserve">Formato de referencia elaborado por Calcu.mx — no sustituye asesoría profesional</w:t>
    </w:r>
  </w:p>
  <w:p>
    <w:pPr>
      <w:spacing w:before="0" w:after="0"/>
      <w:jc w:val="center"/>
    </w:pPr>
    <w:r>
      <w:rPr>
        <w:rFonts w:ascii="Arial" w:hAnsi="Arial" w:cs="Arial"/>
        <w:color w:val="64748B"/>
        <w:sz w:val="15"/>
        <w:szCs w:val="15"/>
      </w:rPr>
      <w:t xml:space="preserve">Página </w:t>
    </w:r>
    <w:r>
      <w:rPr>
        <w:rFonts w:ascii="Arial" w:hAnsi="Arial" w:cs="Arial"/>
        <w:color w:val="64748B"/>
        <w:sz w:val="15"/>
        <w:szCs w:val="15"/>
      </w:rPr>
      <w:fldChar w:fldCharType="begin"/>
    </w:r>
    <w:r>
      <w:rPr>
        <w:rFonts w:ascii="Arial" w:hAnsi="Arial" w:cs="Arial"/>
        <w:color w:val="64748B"/>
        <w:sz w:val="15"/>
        <w:szCs w:val="15"/>
      </w:rPr>
      <w:instrText xml:space="preserve"> PAGE </w:instrText>
    </w:r>
    <w:r>
      <w:rPr>
        <w:rFonts w:ascii="Arial" w:hAnsi="Arial" w:cs="Arial"/>
        <w:color w:val="64748B"/>
        <w:sz w:val="15"/>
        <w:szCs w:val="15"/>
      </w:rPr>
      <w:fldChar w:fldCharType="separate"/>
    </w:r>
    <w:r>
      <w:rPr>
        <w:rFonts w:ascii="Arial" w:hAnsi="Arial" w:cs="Arial"/>
        <w:color w:val="64748B"/>
        <w:sz w:val="15"/>
        <w:szCs w:val="15"/>
      </w:rPr>
      <w:t xml:space="preserve">1</w:t>
    </w:r>
    <w:r>
      <w:rPr>
        <w:rFonts w:ascii="Arial" w:hAnsi="Arial" w:cs="Arial"/>
        <w:color w:val="64748B"/>
        <w:sz w:val="15"/>
        <w:szCs w:val="15"/>
      </w:rPr>
      <w:fldChar w:fldCharType="end"/>
    </w:r>
    <w:r>
      <w:rPr>
        <w:rFonts w:ascii="Arial" w:hAnsi="Arial" w:cs="Arial"/>
        <w:color w:val="64748B"/>
        <w:sz w:val="15"/>
        <w:szCs w:val="15"/>
      </w:rPr>
      <w:t xml:space="preserve"> de </w:t>
    </w:r>
    <w:r>
      <w:rPr>
        <w:rFonts w:ascii="Arial" w:hAnsi="Arial" w:cs="Arial"/>
        <w:color w:val="64748B"/>
        <w:sz w:val="15"/>
        <w:szCs w:val="15"/>
      </w:rPr>
      <w:fldChar w:fldCharType="begin"/>
    </w:r>
    <w:r>
      <w:rPr>
        <w:rFonts w:ascii="Arial" w:hAnsi="Arial" w:cs="Arial"/>
        <w:color w:val="64748B"/>
        <w:sz w:val="15"/>
        <w:szCs w:val="15"/>
      </w:rPr>
      <w:instrText xml:space="preserve"> NUMPAGES </w:instrText>
    </w:r>
    <w:r>
      <w:rPr>
        <w:rFonts w:ascii="Arial" w:hAnsi="Arial" w:cs="Arial"/>
        <w:color w:val="64748B"/>
        <w:sz w:val="15"/>
        <w:szCs w:val="15"/>
      </w:rPr>
      <w:fldChar w:fldCharType="separate"/>
    </w:r>
    <w:r>
      <w:rPr>
        <w:rFonts w:ascii="Arial" w:hAnsi="Arial" w:cs="Arial"/>
        <w:color w:val="64748B"/>
        <w:sz w:val="15"/>
        <w:szCs w:val="15"/>
      </w:rPr>
      <w:t xml:space="preserve">1</w:t>
    </w:r>
    <w:r>
      <w:rPr>
        <w:rFonts w:ascii="Arial" w:hAnsi="Arial" w:cs="Arial"/>
        <w:color w:val="64748B"/>
        <w:sz w:val="15"/>
        <w:szCs w:val="15"/>
      </w:rPr>
      <w:fldChar w:fldCharType="end"/>
    </w:r>
  </w:p>
</w:ftr>
</file>

<file path=word/header1.xml><?xml version="1.0" encoding="utf-8"?>
<w:hdr xmlns:w="http://schemas.openxmlformats.org/wordprocessingml/2006/main">
  <w:p>
    <w:pPr>
      <w:spacing w:before="0" w:after="0"/>
    </w:pPr>
    <w:r>
      <w:rPr>
        <w:rFonts w:ascii="Arial" w:hAnsi="Arial" w:cs="Arial"/>
        <w:b/>
        <w:sz w:val="18"/>
        <w:szCs w:val="18"/>
        <w:highlight w:val="yellow"/>
      </w:rPr>
      <w:t xml:space="preserve">[Nombre, denominación o razón social del centro de trabajo]</w:t>
    </w:r>
  </w:p>
  <w:p>
    <w:pPr>
      <w:spacing w:before="0" w:after="120"/>
    </w:pPr>
    <w:r>
      <w:rPr>
        <w:rFonts w:ascii="Arial" w:hAnsi="Arial" w:cs="Arial"/>
        <w:color w:val="475569"/>
        <w:sz w:val="16"/>
        <w:szCs w:val="16"/>
      </w:rPr>
      <w:t xml:space="preserve">NOM-035-STPS-2018 · Numeral 5.1</w: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1"/>
        <w:szCs w:val="21"/>
        <w:lang w:val="es-MX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" Type="http://schemas.openxmlformats.org/officeDocument/2006/relationships/styles" Target="styles.xml"/><Relationship Id="rIdHdr" Type="http://schemas.openxmlformats.org/officeDocument/2006/relationships/header" Target="header1.xml"/><Relationship Id="rIdFt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Política de prevención de riesgos psicosociales</dc:title>
  <dc:creator>Calcu.mx</dc:creator>
  <dc:language>es-MX</dc:language>
  <dcterms:created xsi:type="dcterms:W3CDTF">2026-09-21T12:00:00Z</dcterms:created>
</cp:coreProperties>
</file>